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BA" w:rsidRPr="003033BA" w:rsidRDefault="003033BA" w:rsidP="003033BA">
      <w:pPr>
        <w:shd w:val="clear" w:color="auto" w:fill="FFFFFF"/>
        <w:spacing w:before="450" w:after="75" w:line="255" w:lineRule="atLeast"/>
        <w:textAlignment w:val="baseline"/>
        <w:outlineLvl w:val="0"/>
        <w:rPr>
          <w:rFonts w:ascii="Arial" w:eastAsia="Times New Roman" w:hAnsi="Arial" w:cs="Arial"/>
          <w:b/>
          <w:bCs/>
          <w:color w:val="008888"/>
          <w:kern w:val="36"/>
          <w:sz w:val="29"/>
          <w:szCs w:val="29"/>
          <w:lang w:eastAsia="es-MX"/>
        </w:rPr>
      </w:pPr>
      <w:r w:rsidRPr="003033BA">
        <w:rPr>
          <w:rFonts w:ascii="Arial" w:eastAsia="Times New Roman" w:hAnsi="Arial" w:cs="Arial"/>
          <w:b/>
          <w:bCs/>
          <w:color w:val="008888"/>
          <w:kern w:val="36"/>
          <w:sz w:val="29"/>
          <w:szCs w:val="29"/>
          <w:lang w:eastAsia="es-MX"/>
        </w:rPr>
        <w:t>Vacunas recomendables en adultos portadores del VIH</w:t>
      </w:r>
    </w:p>
    <w:p w:rsidR="003033BA" w:rsidRPr="003033BA" w:rsidRDefault="003033BA" w:rsidP="003033BA">
      <w:pPr>
        <w:spacing w:after="0" w:line="240" w:lineRule="auto"/>
        <w:rPr>
          <w:rFonts w:ascii="Times New Roman" w:eastAsia="Times New Roman" w:hAnsi="Times New Roman" w:cs="Times New Roman"/>
          <w:sz w:val="24"/>
          <w:szCs w:val="24"/>
          <w:lang w:eastAsia="es-MX"/>
        </w:rPr>
      </w:pPr>
      <w:r w:rsidRPr="003033BA">
        <w:rPr>
          <w:rFonts w:ascii="Arial" w:eastAsia="Times New Roman" w:hAnsi="Arial" w:cs="Arial"/>
          <w:color w:val="000000"/>
          <w:sz w:val="18"/>
          <w:szCs w:val="18"/>
          <w:shd w:val="clear" w:color="auto" w:fill="FFFFFF"/>
          <w:lang w:eastAsia="es-MX"/>
        </w:rPr>
        <w:t>Fecha de la última revisión: </w:t>
      </w:r>
      <w:r w:rsidRPr="003033BA">
        <w:rPr>
          <w:rFonts w:ascii="Arial" w:eastAsia="Times New Roman" w:hAnsi="Arial" w:cs="Arial"/>
          <w:b/>
          <w:bCs/>
          <w:color w:val="000000"/>
          <w:sz w:val="18"/>
          <w:szCs w:val="18"/>
          <w:bdr w:val="none" w:sz="0" w:space="0" w:color="auto" w:frame="1"/>
          <w:shd w:val="clear" w:color="auto" w:fill="FFFFFF"/>
          <w:lang w:eastAsia="es-MX"/>
        </w:rPr>
        <w:t>22/01/2012</w:t>
      </w:r>
      <w:r w:rsidRPr="003033BA">
        <w:rPr>
          <w:rFonts w:ascii="Arial" w:eastAsia="Times New Roman" w:hAnsi="Arial" w:cs="Arial"/>
          <w:color w:val="000000"/>
          <w:sz w:val="18"/>
          <w:szCs w:val="18"/>
          <w:shd w:val="clear" w:color="auto" w:fill="FFFFFF"/>
          <w:lang w:eastAsia="es-MX"/>
        </w:rPr>
        <w:t> </w:t>
      </w:r>
      <w:r w:rsidRPr="003033BA">
        <w:rPr>
          <w:rFonts w:ascii="Arial" w:eastAsia="Times New Roman" w:hAnsi="Arial" w:cs="Arial"/>
          <w:color w:val="000000"/>
          <w:sz w:val="18"/>
          <w:szCs w:val="18"/>
          <w:lang w:eastAsia="es-MX"/>
        </w:rPr>
        <w:br/>
      </w:r>
    </w:p>
    <w:p w:rsidR="003033BA" w:rsidRPr="003033BA" w:rsidRDefault="003033BA" w:rsidP="003033BA">
      <w:pPr>
        <w:numPr>
          <w:ilvl w:val="0"/>
          <w:numId w:val="1"/>
        </w:numPr>
        <w:pBdr>
          <w:left w:val="single" w:sz="6" w:space="0" w:color="DEDEDE"/>
        </w:pBdr>
        <w:shd w:val="clear" w:color="auto" w:fill="FFFFFF"/>
        <w:spacing w:after="0" w:line="240" w:lineRule="auto"/>
        <w:ind w:left="75"/>
        <w:textAlignment w:val="baseline"/>
        <w:rPr>
          <w:rFonts w:ascii="Arial" w:eastAsia="Times New Roman" w:hAnsi="Arial" w:cs="Arial"/>
          <w:color w:val="212121"/>
          <w:sz w:val="18"/>
          <w:szCs w:val="18"/>
          <w:lang w:eastAsia="es-MX"/>
        </w:rPr>
      </w:pPr>
      <w:hyperlink r:id="rId6" w:anchor="guia" w:history="1">
        <w:r>
          <w:rPr>
            <w:rFonts w:ascii="Arial" w:eastAsia="Times New Roman" w:hAnsi="Arial" w:cs="Arial"/>
            <w:caps/>
            <w:noProof/>
            <w:color w:val="FFAC00"/>
            <w:sz w:val="18"/>
            <w:szCs w:val="18"/>
            <w:lang w:eastAsia="es-MX"/>
          </w:rPr>
          <w:drawing>
            <wp:inline distT="0" distB="0" distL="0" distR="0">
              <wp:extent cx="200025" cy="190500"/>
              <wp:effectExtent l="0" t="0" r="9525" b="0"/>
              <wp:docPr id="1" name="Imagen 1" descr="http://www.fisterra.com/graficos/icoPestaGuia.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sterra.com/graficos/icoPestaGuia.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3033BA">
          <w:rPr>
            <w:rFonts w:ascii="Arial" w:eastAsia="Times New Roman" w:hAnsi="Arial" w:cs="Arial"/>
            <w:caps/>
            <w:color w:val="FFAC00"/>
            <w:sz w:val="18"/>
            <w:szCs w:val="18"/>
            <w:u w:val="single"/>
            <w:lang w:eastAsia="es-MX"/>
          </w:rPr>
          <w:t>GUIA</w:t>
        </w:r>
      </w:hyperlink>
    </w:p>
    <w:tbl>
      <w:tblPr>
        <w:tblW w:w="0" w:type="auto"/>
        <w:tblCellMar>
          <w:left w:w="0" w:type="dxa"/>
          <w:right w:w="0" w:type="dxa"/>
        </w:tblCellMar>
        <w:tblLook w:val="04A0" w:firstRow="1" w:lastRow="0" w:firstColumn="1" w:lastColumn="0" w:noHBand="0" w:noVBand="1"/>
      </w:tblPr>
      <w:tblGrid>
        <w:gridCol w:w="4696"/>
        <w:gridCol w:w="191"/>
        <w:gridCol w:w="3951"/>
      </w:tblGrid>
      <w:tr w:rsidR="003033BA" w:rsidRPr="003033BA" w:rsidTr="003033BA">
        <w:tc>
          <w:tcPr>
            <w:tcW w:w="6000" w:type="dxa"/>
            <w:tcBorders>
              <w:top w:val="nil"/>
              <w:left w:val="nil"/>
              <w:bottom w:val="nil"/>
              <w:right w:val="nil"/>
            </w:tcBorders>
            <w:vAlign w:val="bottom"/>
            <w:hideMark/>
          </w:tcPr>
          <w:p w:rsidR="003033BA" w:rsidRPr="003033BA" w:rsidRDefault="003033BA" w:rsidP="003033BA">
            <w:pPr>
              <w:spacing w:before="225" w:after="75" w:line="240" w:lineRule="auto"/>
              <w:textAlignment w:val="baseline"/>
              <w:outlineLvl w:val="1"/>
              <w:rPr>
                <w:rFonts w:ascii="Arial" w:eastAsia="Times New Roman" w:hAnsi="Arial" w:cs="Arial"/>
                <w:b/>
                <w:bCs/>
                <w:color w:val="008888"/>
                <w:sz w:val="21"/>
                <w:szCs w:val="21"/>
                <w:lang w:eastAsia="es-MX"/>
              </w:rPr>
            </w:pPr>
            <w:r w:rsidRPr="003033BA">
              <w:rPr>
                <w:rFonts w:ascii="Arial" w:eastAsia="Times New Roman" w:hAnsi="Arial" w:cs="Arial"/>
                <w:b/>
                <w:bCs/>
                <w:color w:val="008888"/>
                <w:sz w:val="21"/>
                <w:szCs w:val="21"/>
                <w:lang w:eastAsia="es-MX"/>
              </w:rPr>
              <w:t>Índice de contenidos</w:t>
            </w:r>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9" w:anchor="31526" w:history="1">
              <w:r w:rsidRPr="003033BA">
                <w:rPr>
                  <w:rFonts w:ascii="Arial" w:eastAsia="Times New Roman" w:hAnsi="Arial" w:cs="Arial"/>
                  <w:color w:val="008888"/>
                  <w:sz w:val="18"/>
                  <w:szCs w:val="18"/>
                  <w:u w:val="single"/>
                  <w:lang w:eastAsia="es-MX"/>
                </w:rPr>
                <w:t>Introducción</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0" w:anchor="31527" w:history="1">
              <w:r w:rsidRPr="003033BA">
                <w:rPr>
                  <w:rFonts w:ascii="Arial" w:eastAsia="Times New Roman" w:hAnsi="Arial" w:cs="Arial"/>
                  <w:color w:val="008888"/>
                  <w:sz w:val="18"/>
                  <w:szCs w:val="18"/>
                  <w:u w:val="single"/>
                  <w:lang w:eastAsia="es-MX"/>
                </w:rPr>
                <w:t>Vacunas vivas: triple vírica (rubéola, parotiditis, sarampión) y varicela</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1" w:anchor="31528" w:history="1">
              <w:r w:rsidRPr="003033BA">
                <w:rPr>
                  <w:rFonts w:ascii="Arial" w:eastAsia="Times New Roman" w:hAnsi="Arial" w:cs="Arial"/>
                  <w:color w:val="008888"/>
                  <w:sz w:val="18"/>
                  <w:szCs w:val="18"/>
                  <w:u w:val="single"/>
                  <w:lang w:eastAsia="es-MX"/>
                </w:rPr>
                <w:t>Vacuna frente a tétanos-difteria</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2" w:anchor="31529" w:history="1">
              <w:r w:rsidRPr="003033BA">
                <w:rPr>
                  <w:rFonts w:ascii="Arial" w:eastAsia="Times New Roman" w:hAnsi="Arial" w:cs="Arial"/>
                  <w:color w:val="008888"/>
                  <w:sz w:val="18"/>
                  <w:szCs w:val="18"/>
                  <w:u w:val="single"/>
                  <w:lang w:eastAsia="es-MX"/>
                </w:rPr>
                <w:t>Vacuna frente a la Hepatitis B</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3" w:anchor="31530" w:history="1">
              <w:r w:rsidRPr="003033BA">
                <w:rPr>
                  <w:rFonts w:ascii="Arial" w:eastAsia="Times New Roman" w:hAnsi="Arial" w:cs="Arial"/>
                  <w:color w:val="008888"/>
                  <w:sz w:val="18"/>
                  <w:szCs w:val="18"/>
                  <w:u w:val="single"/>
                  <w:lang w:eastAsia="es-MX"/>
                </w:rPr>
                <w:t>Vacuna frente a la Hepatitis A</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4" w:anchor="31531" w:history="1">
              <w:r w:rsidRPr="003033BA">
                <w:rPr>
                  <w:rFonts w:ascii="Arial" w:eastAsia="Times New Roman" w:hAnsi="Arial" w:cs="Arial"/>
                  <w:color w:val="008888"/>
                  <w:sz w:val="18"/>
                  <w:szCs w:val="18"/>
                  <w:u w:val="single"/>
                  <w:lang w:eastAsia="es-MX"/>
                </w:rPr>
                <w:t>Vacuna antigripal</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5" w:anchor="31532" w:history="1">
              <w:r w:rsidRPr="003033BA">
                <w:rPr>
                  <w:rFonts w:ascii="Arial" w:eastAsia="Times New Roman" w:hAnsi="Arial" w:cs="Arial"/>
                  <w:color w:val="008888"/>
                  <w:sz w:val="18"/>
                  <w:szCs w:val="18"/>
                  <w:u w:val="single"/>
                  <w:lang w:eastAsia="es-MX"/>
                </w:rPr>
                <w:t>Vacuna antineumocócica polisacarídica</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6" w:anchor="31533" w:history="1">
              <w:r w:rsidRPr="003033BA">
                <w:rPr>
                  <w:rFonts w:ascii="Arial" w:eastAsia="Times New Roman" w:hAnsi="Arial" w:cs="Arial"/>
                  <w:color w:val="008888"/>
                  <w:sz w:val="18"/>
                  <w:szCs w:val="18"/>
                  <w:u w:val="single"/>
                  <w:lang w:eastAsia="es-MX"/>
                </w:rPr>
                <w:t>Vacuna frente a Haemophilus influenzae</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7" w:anchor="31534" w:history="1">
              <w:r w:rsidRPr="003033BA">
                <w:rPr>
                  <w:rFonts w:ascii="Arial" w:eastAsia="Times New Roman" w:hAnsi="Arial" w:cs="Arial"/>
                  <w:color w:val="008888"/>
                  <w:sz w:val="18"/>
                  <w:szCs w:val="18"/>
                  <w:u w:val="single"/>
                  <w:lang w:eastAsia="es-MX"/>
                </w:rPr>
                <w:t>Bibliografía Vacunas recomendables en adultos portadores del VIH</w:t>
              </w:r>
            </w:hyperlink>
          </w:p>
          <w:p w:rsidR="003033BA" w:rsidRPr="003033BA" w:rsidRDefault="003033BA" w:rsidP="003033BA">
            <w:pPr>
              <w:numPr>
                <w:ilvl w:val="0"/>
                <w:numId w:val="2"/>
              </w:numPr>
              <w:spacing w:after="0" w:line="255" w:lineRule="atLeast"/>
              <w:ind w:left="450" w:right="300"/>
              <w:textAlignment w:val="baseline"/>
              <w:rPr>
                <w:rFonts w:ascii="Arial" w:eastAsia="Times New Roman" w:hAnsi="Arial" w:cs="Arial"/>
                <w:sz w:val="18"/>
                <w:szCs w:val="18"/>
                <w:lang w:eastAsia="es-MX"/>
              </w:rPr>
            </w:pPr>
            <w:hyperlink r:id="rId18" w:anchor="mas_en_red" w:history="1">
              <w:r w:rsidRPr="003033BA">
                <w:rPr>
                  <w:rFonts w:ascii="Arial" w:eastAsia="Times New Roman" w:hAnsi="Arial" w:cs="Arial"/>
                  <w:color w:val="008888"/>
                  <w:sz w:val="18"/>
                  <w:szCs w:val="18"/>
                  <w:u w:val="single"/>
                  <w:lang w:eastAsia="es-MX"/>
                </w:rPr>
                <w:t>Más en la red</w:t>
              </w:r>
            </w:hyperlink>
          </w:p>
        </w:tc>
        <w:tc>
          <w:tcPr>
            <w:tcW w:w="300" w:type="dxa"/>
            <w:tcBorders>
              <w:top w:val="nil"/>
              <w:left w:val="nil"/>
              <w:bottom w:val="nil"/>
              <w:right w:val="nil"/>
            </w:tcBorders>
            <w:vAlign w:val="bottom"/>
            <w:hideMark/>
          </w:tcPr>
          <w:p w:rsidR="003033BA" w:rsidRPr="003033BA" w:rsidRDefault="003033BA" w:rsidP="003033BA">
            <w:pPr>
              <w:spacing w:after="0" w:line="240" w:lineRule="auto"/>
              <w:rPr>
                <w:rFonts w:ascii="Arial" w:eastAsia="Times New Roman" w:hAnsi="Arial" w:cs="Arial"/>
                <w:sz w:val="18"/>
                <w:szCs w:val="18"/>
                <w:lang w:eastAsia="es-MX"/>
              </w:rPr>
            </w:pPr>
          </w:p>
        </w:tc>
        <w:tc>
          <w:tcPr>
            <w:tcW w:w="5550" w:type="dxa"/>
            <w:tcBorders>
              <w:top w:val="nil"/>
              <w:left w:val="nil"/>
              <w:bottom w:val="nil"/>
              <w:right w:val="nil"/>
            </w:tcBorders>
            <w:vAlign w:val="bottom"/>
            <w:hideMark/>
          </w:tcPr>
          <w:p w:rsidR="003033BA" w:rsidRPr="003033BA" w:rsidRDefault="003033BA" w:rsidP="003033BA">
            <w:pPr>
              <w:pBdr>
                <w:top w:val="single" w:sz="12" w:space="0" w:color="F4F4F4"/>
                <w:left w:val="single" w:sz="12" w:space="0" w:color="F4F4F4"/>
                <w:bottom w:val="single" w:sz="12" w:space="0" w:color="F4F4F4"/>
                <w:right w:val="single" w:sz="12" w:space="0" w:color="F4F4F4"/>
              </w:pBdr>
              <w:shd w:val="clear" w:color="auto" w:fill="FFFFFF"/>
              <w:spacing w:after="0" w:line="240" w:lineRule="auto"/>
              <w:textAlignment w:val="baseline"/>
              <w:outlineLvl w:val="5"/>
              <w:rPr>
                <w:rFonts w:ascii="Arial" w:eastAsia="Times New Roman" w:hAnsi="Arial" w:cs="Arial"/>
                <w:b/>
                <w:bCs/>
                <w:color w:val="008888"/>
                <w:sz w:val="20"/>
                <w:szCs w:val="20"/>
                <w:lang w:eastAsia="es-MX"/>
              </w:rPr>
            </w:pPr>
            <w:hyperlink r:id="rId19" w:history="1">
              <w:r w:rsidRPr="003033BA">
                <w:rPr>
                  <w:rFonts w:ascii="Arial" w:eastAsia="Times New Roman" w:hAnsi="Arial" w:cs="Arial"/>
                  <w:b/>
                  <w:bCs/>
                  <w:color w:val="008888"/>
                  <w:sz w:val="20"/>
                  <w:szCs w:val="20"/>
                  <w:u w:val="single"/>
                  <w:lang w:eastAsia="es-MX"/>
                </w:rPr>
                <w:t>Información para pacientes relacionada</w:t>
              </w:r>
            </w:hyperlink>
          </w:p>
          <w:p w:rsidR="003033BA" w:rsidRPr="003033BA" w:rsidRDefault="003033BA" w:rsidP="003033BA">
            <w:pPr>
              <w:pBdr>
                <w:top w:val="single" w:sz="12" w:space="0" w:color="F4F4F4"/>
                <w:left w:val="single" w:sz="12" w:space="0" w:color="F4F4F4"/>
                <w:bottom w:val="single" w:sz="12" w:space="0" w:color="F4F4F4"/>
                <w:right w:val="single" w:sz="12" w:space="0" w:color="F4F4F4"/>
              </w:pBdr>
              <w:shd w:val="clear" w:color="auto" w:fill="FFFFFF"/>
              <w:spacing w:after="0" w:line="240" w:lineRule="auto"/>
              <w:textAlignment w:val="baseline"/>
              <w:outlineLvl w:val="5"/>
              <w:rPr>
                <w:rFonts w:ascii="Arial" w:eastAsia="Times New Roman" w:hAnsi="Arial" w:cs="Arial"/>
                <w:b/>
                <w:bCs/>
                <w:color w:val="008888"/>
                <w:sz w:val="20"/>
                <w:szCs w:val="20"/>
                <w:lang w:eastAsia="es-MX"/>
              </w:rPr>
            </w:pPr>
            <w:hyperlink r:id="rId20" w:history="1">
              <w:r w:rsidRPr="003033BA">
                <w:rPr>
                  <w:rFonts w:ascii="Arial" w:eastAsia="Times New Roman" w:hAnsi="Arial" w:cs="Arial"/>
                  <w:b/>
                  <w:bCs/>
                  <w:color w:val="008888"/>
                  <w:sz w:val="20"/>
                  <w:szCs w:val="20"/>
                  <w:u w:val="single"/>
                  <w:lang w:eastAsia="es-MX"/>
                </w:rPr>
                <w:t>Realizar comentarios o aportaciones</w:t>
              </w:r>
            </w:hyperlink>
          </w:p>
        </w:tc>
      </w:tr>
    </w:tbl>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0" w:name="31526"/>
      <w:bookmarkEnd w:id="0"/>
      <w:r w:rsidRPr="003033BA">
        <w:rPr>
          <w:rFonts w:ascii="Arial" w:eastAsia="Times New Roman" w:hAnsi="Arial" w:cs="Arial"/>
          <w:b/>
          <w:bCs/>
          <w:color w:val="008888"/>
          <w:sz w:val="21"/>
          <w:szCs w:val="21"/>
          <w:lang w:eastAsia="es-MX"/>
        </w:rPr>
        <w:t>Introducción</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Una de las complicaciones más frecuentes derivadas del estado de inmunosupresión de los pacientes VIH+ son las infecciones. Las infecciones oportunistas van a causar una gran morbimortalidad entre los sujetos VIH+ y el curso de las infecciones comunes va a ser más grave en este tipo de pacientes.</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Ante la perspectiva de larga evolución de la enfermedad, pero con un deterioro progresivo del sistema inmune y sin conseguir erradicar el VIH, la producción de anticuerpos frente a patógenos infecciosos representa un factor defensivo de primordial importancia frente a infecciones diseminadas en el futuro. Por ello, la inmunoterapia precoz representa una de las medidas a tomar de mayor peso para el futuro de estos pacientes.</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Debe quedar claro que ser portador del virus de la inmunodeficiencia humana no es una contraindicación para la vacunación, pero precisa de consideraciones adicionales a las del sujeto VIH negativo.</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A la hora de decidir el tipo y momento de administración de una vacuna en este tipo de pacientes debe tenerse en cuenta:</w:t>
      </w:r>
    </w:p>
    <w:p w:rsidR="003033BA" w:rsidRPr="003033BA" w:rsidRDefault="003033BA" w:rsidP="003033BA">
      <w:pPr>
        <w:numPr>
          <w:ilvl w:val="0"/>
          <w:numId w:val="3"/>
        </w:numPr>
        <w:shd w:val="clear" w:color="auto" w:fill="FFFFFF"/>
        <w:spacing w:after="0" w:line="255" w:lineRule="atLeast"/>
        <w:ind w:left="450"/>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La magnitud de la respuesta de los anticuerpos se correlaciona con los niveles de inmunodeficiencia determinados por el número de linfocitos T CD4 +. Generalmente, los adultos infectados con porcentajes de linfocitos T CD4+ menor de 200 células/mm</w:t>
      </w:r>
      <w:r w:rsidRPr="003033BA">
        <w:rPr>
          <w:rFonts w:ascii="Arial" w:eastAsia="Times New Roman" w:hAnsi="Arial" w:cs="Arial"/>
          <w:color w:val="222222"/>
          <w:sz w:val="15"/>
          <w:szCs w:val="15"/>
          <w:bdr w:val="none" w:sz="0" w:space="0" w:color="auto" w:frame="1"/>
          <w:vertAlign w:val="superscript"/>
          <w:lang w:eastAsia="es-MX"/>
        </w:rPr>
        <w:t>3</w:t>
      </w:r>
      <w:r w:rsidRPr="003033BA">
        <w:rPr>
          <w:rFonts w:ascii="Arial" w:eastAsia="Times New Roman" w:hAnsi="Arial" w:cs="Arial"/>
          <w:color w:val="222222"/>
          <w:sz w:val="18"/>
          <w:szCs w:val="18"/>
          <w:lang w:eastAsia="es-MX"/>
        </w:rPr>
        <w:t> y los niños infectados con porcentajes inferiores al 15% tienen una peor respuesta serológica a la vacunación.</w:t>
      </w:r>
    </w:p>
    <w:p w:rsidR="003033BA" w:rsidRPr="003033BA" w:rsidRDefault="003033BA" w:rsidP="003033BA">
      <w:pPr>
        <w:numPr>
          <w:ilvl w:val="0"/>
          <w:numId w:val="3"/>
        </w:numPr>
        <w:shd w:val="clear" w:color="auto" w:fill="FFFFFF"/>
        <w:spacing w:after="0" w:line="255" w:lineRule="atLeast"/>
        <w:ind w:left="450"/>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Las personas infectadas por el VIH que desarrollan una respuesta inicial de anticuerpos a la vacunación sufren con mayor frecuencia una disminución/desaparición de los títulos de anticuerpos con mayor rapidez que las personas sin infección.</w:t>
      </w:r>
    </w:p>
    <w:p w:rsidR="003033BA" w:rsidRPr="003033BA" w:rsidRDefault="003033BA" w:rsidP="003033BA">
      <w:pPr>
        <w:numPr>
          <w:ilvl w:val="0"/>
          <w:numId w:val="3"/>
        </w:numPr>
        <w:shd w:val="clear" w:color="auto" w:fill="FFFFFF"/>
        <w:spacing w:after="0" w:line="255" w:lineRule="atLeast"/>
        <w:ind w:left="450"/>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Las vacunas vivas (víricas o bacterianas) suponen un riesgo mayor para estas personas, debido a la posibilidad de una replicación descontrolada de la cepa vacunal por lo que, en general, están contraindicadas. Existen algunas excepciones en evidencia que apoye su uso o si el riesgo de la enfermedad es mayor que el de la vacunación. En cualquier caso, el número de linfocitos CD4 + debe ser mayor de 200/mm</w:t>
      </w:r>
      <w:r w:rsidRPr="003033BA">
        <w:rPr>
          <w:rFonts w:ascii="Arial" w:eastAsia="Times New Roman" w:hAnsi="Arial" w:cs="Arial"/>
          <w:color w:val="222222"/>
          <w:sz w:val="15"/>
          <w:szCs w:val="15"/>
          <w:bdr w:val="none" w:sz="0" w:space="0" w:color="auto" w:frame="1"/>
          <w:vertAlign w:val="superscript"/>
          <w:lang w:eastAsia="es-MX"/>
        </w:rPr>
        <w:t>3</w:t>
      </w:r>
      <w:r w:rsidRPr="003033BA">
        <w:rPr>
          <w:rFonts w:ascii="Arial" w:eastAsia="Times New Roman" w:hAnsi="Arial" w:cs="Arial"/>
          <w:color w:val="222222"/>
          <w:sz w:val="18"/>
          <w:szCs w:val="18"/>
          <w:lang w:eastAsia="es-MX"/>
        </w:rPr>
        <w:t>.</w:t>
      </w:r>
    </w:p>
    <w:p w:rsidR="003033BA" w:rsidRPr="003033BA" w:rsidRDefault="003033BA" w:rsidP="003033BA">
      <w:pPr>
        <w:numPr>
          <w:ilvl w:val="0"/>
          <w:numId w:val="3"/>
        </w:numPr>
        <w:shd w:val="clear" w:color="auto" w:fill="FFFFFF"/>
        <w:spacing w:after="0" w:line="255" w:lineRule="atLeast"/>
        <w:ind w:left="450"/>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lastRenderedPageBreak/>
        <w:t>En ocasiones, la vacunación puede producir un incremento de células sanguíneas periféricas infectadas por el VIH; este aumento de carga viral suele ser transitorio, volviendo a su estado basal en 4 a 6 semanas.</w:t>
      </w:r>
    </w:p>
    <w:p w:rsidR="003033BA" w:rsidRPr="003033BA" w:rsidRDefault="003033BA" w:rsidP="003033BA">
      <w:pPr>
        <w:numPr>
          <w:ilvl w:val="0"/>
          <w:numId w:val="3"/>
        </w:numPr>
        <w:shd w:val="clear" w:color="auto" w:fill="FFFFFF"/>
        <w:spacing w:after="0" w:line="255" w:lineRule="atLeast"/>
        <w:ind w:left="450"/>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Hay que tener en cuenta el entorno del paciente y la valoración del riesgo o conveniencia de vacunar a los convivientes como método indirecto de protección para el paciente VIH.</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1"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1" w:name="31527"/>
      <w:bookmarkEnd w:id="1"/>
      <w:r w:rsidRPr="003033BA">
        <w:rPr>
          <w:rFonts w:ascii="Arial" w:eastAsia="Times New Roman" w:hAnsi="Arial" w:cs="Arial"/>
          <w:b/>
          <w:bCs/>
          <w:color w:val="008888"/>
          <w:sz w:val="21"/>
          <w:szCs w:val="21"/>
          <w:lang w:eastAsia="es-MX"/>
        </w:rPr>
        <w:t>Vacunas vivas: triple vírica (rubéola, parotiditis, sarampión) y varicela</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Con la excepción de las vacunas triple vírica y varicela, el resto de las vacunas vivas están contraindicadas en estos pacientes.</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El sarampión puede ser muy agresivo en las personas con infección por el VIH. Hay estudios que demuestran que la vacuna frente al sarampión no está asociada a efectos adversos muy graves en los infectados por el VIH, siempre y cuando la situación de inmunosupresión no sea intensa. Por esto, la vacuna está recomendada para todas las personas VIH+ asintomáticas y debería ser administrada también en aquéllas en las que la inmunosupresión no sea grave (en &gt; 12 años, &lt; 200 LCD4 por microlitro). Existe un riesgo teórico de aumento de la carga viral inmediatamente después de la vacunación, pero éste es más bien transitorio.</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Se administran 2 dosis separadas como mínimo 4 semanas.</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Está indicada la vacuna frente a la varicela si el recuento de CD4 &gt; 200 CD4 por microlitro. Se administran 2 dosis separadas entre sí por 4-8 semanas.</w:t>
      </w:r>
    </w:p>
    <w:p w:rsidR="003033BA" w:rsidRPr="003033BA" w:rsidRDefault="003033BA" w:rsidP="003033BA">
      <w:pPr>
        <w:shd w:val="clear" w:color="auto" w:fill="FFFFFF"/>
        <w:spacing w:before="150" w:after="15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Recuentos de CD4 &lt; 200 células/microlitro (inmunodepresión grave) contraindican estas vacunaciones.</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2"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2" w:name="31528"/>
      <w:bookmarkEnd w:id="2"/>
      <w:r w:rsidRPr="003033BA">
        <w:rPr>
          <w:rFonts w:ascii="Arial" w:eastAsia="Times New Roman" w:hAnsi="Arial" w:cs="Arial"/>
          <w:b/>
          <w:bCs/>
          <w:color w:val="008888"/>
          <w:sz w:val="21"/>
          <w:szCs w:val="21"/>
          <w:lang w:eastAsia="es-MX"/>
        </w:rPr>
        <w:t>Vacuna frente a tétanos-difteria</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La OMS recomienda la administración de esta vacuna a todo paciente VIH+. La respuesta inmune que se genera es similar a la de la población general. No hay estudios que documenten un aumento de carga viral tras la administración del toxoide tetánico.</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Pauta: tres dosis de Td (0-1-6 ó 12) en individuos nunca vacunados o con antecedentes inciertos y revacunación según las pautas recomendadas (dos dosis con un intervalo de 10 años entre ellas hasta un total de 5 dosis).</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3"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3" w:name="31529"/>
      <w:bookmarkEnd w:id="3"/>
      <w:r w:rsidRPr="003033BA">
        <w:rPr>
          <w:rFonts w:ascii="Arial" w:eastAsia="Times New Roman" w:hAnsi="Arial" w:cs="Arial"/>
          <w:b/>
          <w:bCs/>
          <w:color w:val="008888"/>
          <w:sz w:val="21"/>
          <w:szCs w:val="21"/>
          <w:lang w:eastAsia="es-MX"/>
        </w:rPr>
        <w:t>Vacuna frente a la Hepatitis B</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La coinfección del VIH y del VHB es frecuente ya que ambos virus comparten vías de transmisión. Son conocidas algunas diferencias en la historia natural de la infección por VHB en individuos VIH+ comparados con VIH-. Entre éstas se incluyen una alta tasa de progresión a enfermedad crónica, un elevado nivel de replicación del VHB y una baja tasa de pérdida en suero del Ag Hbe. Sin embargo, la respuesta a la vacuna de la hepatitis B en pacientes VIH+ no es satisfactoria.</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La pauta de vacunación estándar (0-1-6 con dosificación normal de adulto) se ha mostrado insuficiente para mantener unos títulos protectores de anti-HBs a lo largo del tiempo. Además, los pacientes con un bajo recuento de linfocitos CD4 son más propensos a una respuesta inadecuada a la vacuna. Parece ser que aumentando el número de dosis o la cantidad de antígeno de cada dosis se podría mejorar la respuesta. No se encuentran en la literatura recomendaciones firmes sobre la pauta ni sobre la dosis a utilizar en estos pacientes, pero una recomendación adecuada podría ser la utilización de vacunas de 40 microgramos (HB Vax Pro 40®).</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4"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4" w:name="31530"/>
      <w:bookmarkEnd w:id="4"/>
      <w:r w:rsidRPr="003033BA">
        <w:rPr>
          <w:rFonts w:ascii="Arial" w:eastAsia="Times New Roman" w:hAnsi="Arial" w:cs="Arial"/>
          <w:b/>
          <w:bCs/>
          <w:color w:val="008888"/>
          <w:sz w:val="21"/>
          <w:szCs w:val="21"/>
          <w:lang w:eastAsia="es-MX"/>
        </w:rPr>
        <w:lastRenderedPageBreak/>
        <w:t>Vacuna frente a la Hepatitis A</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Existe riesgo de hepatitis fulminante en caso de coinfección en individuos con hepatitis C crónica, por lo que se recomienda la vacunación frente a la hepatitis A en este grupo. Además estaría indicado vacunar a aquellos VIH+ con serología positiva a hepatitis B o con hepatopatía crónica de otro origen. La respuesta inmune a esta vacuna es buena y en más del 88% de los vacunados aparecen títulos de anticuerpos protectores. Se debe solicitar serología previa en mayores de 25 años.</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Pauta: dos dosis de una vacuna de presentación de adulto separadas por un intervalo de 6 meses.</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5"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5" w:name="31531"/>
      <w:bookmarkEnd w:id="5"/>
      <w:r w:rsidRPr="003033BA">
        <w:rPr>
          <w:rFonts w:ascii="Arial" w:eastAsia="Times New Roman" w:hAnsi="Arial" w:cs="Arial"/>
          <w:b/>
          <w:bCs/>
          <w:color w:val="008888"/>
          <w:sz w:val="21"/>
          <w:szCs w:val="21"/>
          <w:lang w:eastAsia="es-MX"/>
        </w:rPr>
        <w:t>Vacuna antigripal</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El virus de la gripe puede producir enfermedad grave y complicaciones severas en pacientes VIH+. En aquéllos en los que la enfermedad está avanzada, la vacuna no induce una respuesta inmunológica adecuada. La administración de una segunda dosis en estos pacientes tampoco ha demostrado ser útil. Sin embargo, la vacuna sí es eficaz en la producción de títulos protectores de anticuerpos en aquellos pacientes con un recuento de CD4 elevado. Por lo tanto, la vacunación antigripal anual será beneficiosa para muchos pacientes VIH+, incluidas las mujeres embarazadas. </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Los últimos estudios respecto a la vacunación de la gripe no muestran ni incrementos de la carga viral ni descenso en el recuento de linfocitos CD4 posteriores a la inmunización.</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6"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6" w:name="31532"/>
      <w:bookmarkEnd w:id="6"/>
      <w:r w:rsidRPr="003033BA">
        <w:rPr>
          <w:rFonts w:ascii="Arial" w:eastAsia="Times New Roman" w:hAnsi="Arial" w:cs="Arial"/>
          <w:b/>
          <w:bCs/>
          <w:color w:val="008888"/>
          <w:sz w:val="21"/>
          <w:szCs w:val="21"/>
          <w:lang w:eastAsia="es-MX"/>
        </w:rPr>
        <w:t>Vacuna antineumocócica polisacarídica</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El S. Pneumoniae es una causa común de infecciones en los individuos seropositivos. La tasa de ataque estimada para infecciones neumocócicas severas está entre 6 y 10 por cada 1000 pacientes VIH+, unas 10 veces superior a la de los individuos seronegativos.</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La mayoría de los estudios muestran elevaciones significativas de los títulos de anticuerpos tras la vacunación de VIH+ con recuentos de CD4 mayores de 400/mm</w:t>
      </w:r>
      <w:r w:rsidRPr="003033BA">
        <w:rPr>
          <w:rFonts w:ascii="Arial" w:eastAsia="Times New Roman" w:hAnsi="Arial" w:cs="Arial"/>
          <w:color w:val="222222"/>
          <w:sz w:val="15"/>
          <w:szCs w:val="15"/>
          <w:bdr w:val="none" w:sz="0" w:space="0" w:color="auto" w:frame="1"/>
          <w:vertAlign w:val="superscript"/>
          <w:lang w:eastAsia="es-MX"/>
        </w:rPr>
        <w:t>3</w:t>
      </w:r>
      <w:r w:rsidRPr="003033BA">
        <w:rPr>
          <w:rFonts w:ascii="Arial" w:eastAsia="Times New Roman" w:hAnsi="Arial" w:cs="Arial"/>
          <w:color w:val="222222"/>
          <w:sz w:val="18"/>
          <w:szCs w:val="18"/>
          <w:lang w:eastAsia="es-MX"/>
        </w:rPr>
        <w:t>. Sin embargo, sólo unos pocos pacientes con recuentos inferiores a 200/mm</w:t>
      </w:r>
      <w:r w:rsidRPr="003033BA">
        <w:rPr>
          <w:rFonts w:ascii="Arial" w:eastAsia="Times New Roman" w:hAnsi="Arial" w:cs="Arial"/>
          <w:color w:val="222222"/>
          <w:sz w:val="15"/>
          <w:szCs w:val="15"/>
          <w:bdr w:val="none" w:sz="0" w:space="0" w:color="auto" w:frame="1"/>
          <w:vertAlign w:val="superscript"/>
          <w:lang w:eastAsia="es-MX"/>
        </w:rPr>
        <w:t>3</w:t>
      </w:r>
      <w:r w:rsidRPr="003033BA">
        <w:rPr>
          <w:rFonts w:ascii="Arial" w:eastAsia="Times New Roman" w:hAnsi="Arial" w:cs="Arial"/>
          <w:color w:val="222222"/>
          <w:sz w:val="18"/>
          <w:szCs w:val="18"/>
          <w:lang w:eastAsia="es-MX"/>
        </w:rPr>
        <w:t> van a responder adecuadamente. Se han descrito elevaciones transitorias de la carga viral después de la vacunación. Debido a la práctica ausencia de efectos secundarios graves de esta vacuna y a la elevada incidencia de neumonía y bacteriemia neumocócicas se recomienda la vacuna antineumocócica 23-valente a todos los sujetos infectados por el VIH. </w:t>
      </w:r>
      <w:r w:rsidRPr="003033BA">
        <w:rPr>
          <w:rFonts w:ascii="Arial" w:eastAsia="Times New Roman" w:hAnsi="Arial" w:cs="Arial"/>
          <w:color w:val="222222"/>
          <w:sz w:val="18"/>
          <w:szCs w:val="18"/>
          <w:lang w:eastAsia="es-MX"/>
        </w:rPr>
        <w:br/>
      </w:r>
      <w:r w:rsidRPr="003033BA">
        <w:rPr>
          <w:rFonts w:ascii="Arial" w:eastAsia="Times New Roman" w:hAnsi="Arial" w:cs="Arial"/>
          <w:color w:val="222222"/>
          <w:sz w:val="18"/>
          <w:szCs w:val="18"/>
          <w:lang w:eastAsia="es-MX"/>
        </w:rPr>
        <w:br/>
        <w:t>Pauta: una dosis, con revacunación a los 3-5 años.</w:t>
      </w:r>
    </w:p>
    <w:p w:rsidR="003033BA" w:rsidRPr="003033BA" w:rsidRDefault="003033BA" w:rsidP="003033BA">
      <w:pPr>
        <w:shd w:val="clear" w:color="auto" w:fill="FFFFFF"/>
        <w:spacing w:after="0" w:line="255" w:lineRule="atLeast"/>
        <w:jc w:val="right"/>
        <w:textAlignment w:val="baseline"/>
        <w:rPr>
          <w:rFonts w:ascii="Arial" w:eastAsia="Times New Roman" w:hAnsi="Arial" w:cs="Arial"/>
          <w:color w:val="222222"/>
          <w:sz w:val="18"/>
          <w:szCs w:val="18"/>
          <w:lang w:eastAsia="es-MX"/>
        </w:rPr>
      </w:pPr>
      <w:hyperlink r:id="rId27" w:anchor="top" w:history="1">
        <w:r w:rsidRPr="003033BA">
          <w:rPr>
            <w:rFonts w:ascii="Arial" w:eastAsia="Times New Roman" w:hAnsi="Arial" w:cs="Arial"/>
            <w:b/>
            <w:bCs/>
            <w:color w:val="008888"/>
            <w:sz w:val="18"/>
            <w:szCs w:val="18"/>
            <w:u w:val="single"/>
            <w:bdr w:val="none" w:sz="0" w:space="0" w:color="auto" w:frame="1"/>
            <w:lang w:eastAsia="es-MX"/>
          </w:rPr>
          <w:t>subir</w:t>
        </w:r>
      </w:hyperlink>
    </w:p>
    <w:p w:rsidR="003033BA" w:rsidRPr="003033BA" w:rsidRDefault="003033BA" w:rsidP="003033BA">
      <w:pPr>
        <w:shd w:val="clear" w:color="auto" w:fill="FFFFFF"/>
        <w:spacing w:before="225" w:after="75" w:line="255" w:lineRule="atLeast"/>
        <w:textAlignment w:val="baseline"/>
        <w:outlineLvl w:val="1"/>
        <w:rPr>
          <w:rFonts w:ascii="Arial" w:eastAsia="Times New Roman" w:hAnsi="Arial" w:cs="Arial"/>
          <w:b/>
          <w:bCs/>
          <w:color w:val="008888"/>
          <w:sz w:val="21"/>
          <w:szCs w:val="21"/>
          <w:lang w:eastAsia="es-MX"/>
        </w:rPr>
      </w:pPr>
      <w:bookmarkStart w:id="7" w:name="31533"/>
      <w:bookmarkEnd w:id="7"/>
      <w:r w:rsidRPr="003033BA">
        <w:rPr>
          <w:rFonts w:ascii="Arial" w:eastAsia="Times New Roman" w:hAnsi="Arial" w:cs="Arial"/>
          <w:b/>
          <w:bCs/>
          <w:color w:val="008888"/>
          <w:sz w:val="21"/>
          <w:szCs w:val="21"/>
          <w:lang w:eastAsia="es-MX"/>
        </w:rPr>
        <w:t>Vacuna frente a Haemophilus influenzae</w:t>
      </w:r>
    </w:p>
    <w:p w:rsidR="003033BA" w:rsidRPr="003033BA" w:rsidRDefault="003033BA" w:rsidP="003033BA">
      <w:pPr>
        <w:shd w:val="clear" w:color="auto" w:fill="FFFFFF"/>
        <w:spacing w:after="0" w:line="255" w:lineRule="atLeast"/>
        <w:textAlignment w:val="baseline"/>
        <w:rPr>
          <w:rFonts w:ascii="Arial" w:eastAsia="Times New Roman" w:hAnsi="Arial" w:cs="Arial"/>
          <w:color w:val="222222"/>
          <w:sz w:val="18"/>
          <w:szCs w:val="18"/>
          <w:lang w:eastAsia="es-MX"/>
        </w:rPr>
      </w:pPr>
      <w:r w:rsidRPr="003033BA">
        <w:rPr>
          <w:rFonts w:ascii="Arial" w:eastAsia="Times New Roman" w:hAnsi="Arial" w:cs="Arial"/>
          <w:color w:val="222222"/>
          <w:sz w:val="18"/>
          <w:szCs w:val="18"/>
          <w:lang w:eastAsia="es-MX"/>
        </w:rPr>
        <w:t>Aunque las infecciones por Haemophilus influenzae tipo b en adultos seropositivos representa una pequeña parte (30%) del total de infecciones causadas por Haemophilus influenzae, la vacuna está indicada en pacientes VIH+. Deberá administrarse preferentemente antes de que el recuento de linfocitos CD4 caiga por debajo de 100/mm</w:t>
      </w:r>
      <w:r w:rsidRPr="003033BA">
        <w:rPr>
          <w:rFonts w:ascii="Arial" w:eastAsia="Times New Roman" w:hAnsi="Arial" w:cs="Arial"/>
          <w:color w:val="222222"/>
          <w:sz w:val="15"/>
          <w:szCs w:val="15"/>
          <w:bdr w:val="none" w:sz="0" w:space="0" w:color="auto" w:frame="1"/>
          <w:vertAlign w:val="superscript"/>
          <w:lang w:eastAsia="es-MX"/>
        </w:rPr>
        <w:t>3</w:t>
      </w:r>
      <w:r w:rsidRPr="003033BA">
        <w:rPr>
          <w:rFonts w:ascii="Arial" w:eastAsia="Times New Roman" w:hAnsi="Arial" w:cs="Arial"/>
          <w:color w:val="222222"/>
          <w:sz w:val="18"/>
          <w:szCs w:val="18"/>
          <w:lang w:eastAsia="es-MX"/>
        </w:rPr>
        <w:t>.</w:t>
      </w:r>
    </w:p>
    <w:p w:rsidR="0085175E" w:rsidRDefault="0085175E">
      <w:bookmarkStart w:id="8" w:name="_GoBack"/>
      <w:bookmarkEnd w:id="8"/>
    </w:p>
    <w:sectPr w:rsidR="008517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D45"/>
    <w:multiLevelType w:val="multilevel"/>
    <w:tmpl w:val="645E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86E71"/>
    <w:multiLevelType w:val="multilevel"/>
    <w:tmpl w:val="50B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C0ED0"/>
    <w:multiLevelType w:val="multilevel"/>
    <w:tmpl w:val="FF8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BA"/>
    <w:rsid w:val="003033BA"/>
    <w:rsid w:val="00851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33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033B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6">
    <w:name w:val="heading 6"/>
    <w:basedOn w:val="Normal"/>
    <w:link w:val="Ttulo6Car"/>
    <w:uiPriority w:val="9"/>
    <w:qFormat/>
    <w:rsid w:val="003033B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3B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033BA"/>
    <w:rPr>
      <w:rFonts w:ascii="Times New Roman" w:eastAsia="Times New Roman" w:hAnsi="Times New Roman" w:cs="Times New Roman"/>
      <w:b/>
      <w:bCs/>
      <w:sz w:val="36"/>
      <w:szCs w:val="36"/>
      <w:lang w:eastAsia="es-MX"/>
    </w:rPr>
  </w:style>
  <w:style w:type="character" w:customStyle="1" w:styleId="Ttulo6Car">
    <w:name w:val="Título 6 Car"/>
    <w:basedOn w:val="Fuentedeprrafopredeter"/>
    <w:link w:val="Ttulo6"/>
    <w:uiPriority w:val="9"/>
    <w:rsid w:val="003033BA"/>
    <w:rPr>
      <w:rFonts w:ascii="Times New Roman" w:eastAsia="Times New Roman" w:hAnsi="Times New Roman" w:cs="Times New Roman"/>
      <w:b/>
      <w:bCs/>
      <w:sz w:val="15"/>
      <w:szCs w:val="15"/>
      <w:lang w:eastAsia="es-MX"/>
    </w:rPr>
  </w:style>
  <w:style w:type="character" w:customStyle="1" w:styleId="apple-converted-space">
    <w:name w:val="apple-converted-space"/>
    <w:basedOn w:val="Fuentedeprrafopredeter"/>
    <w:rsid w:val="003033BA"/>
  </w:style>
  <w:style w:type="character" w:styleId="Textoennegrita">
    <w:name w:val="Strong"/>
    <w:basedOn w:val="Fuentedeprrafopredeter"/>
    <w:uiPriority w:val="22"/>
    <w:qFormat/>
    <w:rsid w:val="003033BA"/>
    <w:rPr>
      <w:b/>
      <w:bCs/>
    </w:rPr>
  </w:style>
  <w:style w:type="character" w:styleId="Hipervnculo">
    <w:name w:val="Hyperlink"/>
    <w:basedOn w:val="Fuentedeprrafopredeter"/>
    <w:uiPriority w:val="99"/>
    <w:semiHidden/>
    <w:unhideWhenUsed/>
    <w:rsid w:val="003033BA"/>
    <w:rPr>
      <w:color w:val="0000FF"/>
      <w:u w:val="single"/>
    </w:rPr>
  </w:style>
  <w:style w:type="paragraph" w:styleId="NormalWeb">
    <w:name w:val="Normal (Web)"/>
    <w:basedOn w:val="Normal"/>
    <w:uiPriority w:val="99"/>
    <w:semiHidden/>
    <w:unhideWhenUsed/>
    <w:rsid w:val="003033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03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33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033B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6">
    <w:name w:val="heading 6"/>
    <w:basedOn w:val="Normal"/>
    <w:link w:val="Ttulo6Car"/>
    <w:uiPriority w:val="9"/>
    <w:qFormat/>
    <w:rsid w:val="003033B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3B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033BA"/>
    <w:rPr>
      <w:rFonts w:ascii="Times New Roman" w:eastAsia="Times New Roman" w:hAnsi="Times New Roman" w:cs="Times New Roman"/>
      <w:b/>
      <w:bCs/>
      <w:sz w:val="36"/>
      <w:szCs w:val="36"/>
      <w:lang w:eastAsia="es-MX"/>
    </w:rPr>
  </w:style>
  <w:style w:type="character" w:customStyle="1" w:styleId="Ttulo6Car">
    <w:name w:val="Título 6 Car"/>
    <w:basedOn w:val="Fuentedeprrafopredeter"/>
    <w:link w:val="Ttulo6"/>
    <w:uiPriority w:val="9"/>
    <w:rsid w:val="003033BA"/>
    <w:rPr>
      <w:rFonts w:ascii="Times New Roman" w:eastAsia="Times New Roman" w:hAnsi="Times New Roman" w:cs="Times New Roman"/>
      <w:b/>
      <w:bCs/>
      <w:sz w:val="15"/>
      <w:szCs w:val="15"/>
      <w:lang w:eastAsia="es-MX"/>
    </w:rPr>
  </w:style>
  <w:style w:type="character" w:customStyle="1" w:styleId="apple-converted-space">
    <w:name w:val="apple-converted-space"/>
    <w:basedOn w:val="Fuentedeprrafopredeter"/>
    <w:rsid w:val="003033BA"/>
  </w:style>
  <w:style w:type="character" w:styleId="Textoennegrita">
    <w:name w:val="Strong"/>
    <w:basedOn w:val="Fuentedeprrafopredeter"/>
    <w:uiPriority w:val="22"/>
    <w:qFormat/>
    <w:rsid w:val="003033BA"/>
    <w:rPr>
      <w:b/>
      <w:bCs/>
    </w:rPr>
  </w:style>
  <w:style w:type="character" w:styleId="Hipervnculo">
    <w:name w:val="Hyperlink"/>
    <w:basedOn w:val="Fuentedeprrafopredeter"/>
    <w:uiPriority w:val="99"/>
    <w:semiHidden/>
    <w:unhideWhenUsed/>
    <w:rsid w:val="003033BA"/>
    <w:rPr>
      <w:color w:val="0000FF"/>
      <w:u w:val="single"/>
    </w:rPr>
  </w:style>
  <w:style w:type="paragraph" w:styleId="NormalWeb">
    <w:name w:val="Normal (Web)"/>
    <w:basedOn w:val="Normal"/>
    <w:uiPriority w:val="99"/>
    <w:semiHidden/>
    <w:unhideWhenUsed/>
    <w:rsid w:val="003033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03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75503">
      <w:bodyDiv w:val="1"/>
      <w:marLeft w:val="0"/>
      <w:marRight w:val="0"/>
      <w:marTop w:val="0"/>
      <w:marBottom w:val="0"/>
      <w:divBdr>
        <w:top w:val="none" w:sz="0" w:space="0" w:color="auto"/>
        <w:left w:val="none" w:sz="0" w:space="0" w:color="auto"/>
        <w:bottom w:val="none" w:sz="0" w:space="0" w:color="auto"/>
        <w:right w:val="none" w:sz="0" w:space="0" w:color="auto"/>
      </w:divBdr>
      <w:divsChild>
        <w:div w:id="2083017914">
          <w:marLeft w:val="0"/>
          <w:marRight w:val="0"/>
          <w:marTop w:val="0"/>
          <w:marBottom w:val="0"/>
          <w:divBdr>
            <w:top w:val="none" w:sz="0" w:space="0" w:color="auto"/>
            <w:left w:val="none" w:sz="0" w:space="0" w:color="auto"/>
            <w:bottom w:val="none" w:sz="0" w:space="0" w:color="auto"/>
            <w:right w:val="none" w:sz="0" w:space="0" w:color="auto"/>
          </w:divBdr>
          <w:divsChild>
            <w:div w:id="927155979">
              <w:marLeft w:val="0"/>
              <w:marRight w:val="0"/>
              <w:marTop w:val="0"/>
              <w:marBottom w:val="0"/>
              <w:divBdr>
                <w:top w:val="single" w:sz="6" w:space="15" w:color="E3E3E3"/>
                <w:left w:val="single" w:sz="2" w:space="0" w:color="AAAAAA"/>
                <w:bottom w:val="single" w:sz="2" w:space="15" w:color="AAAAAA"/>
                <w:right w:val="single" w:sz="2" w:space="0" w:color="AAAAAA"/>
              </w:divBdr>
              <w:divsChild>
                <w:div w:id="1319921305">
                  <w:marLeft w:val="0"/>
                  <w:marRight w:val="0"/>
                  <w:marTop w:val="0"/>
                  <w:marBottom w:val="0"/>
                  <w:divBdr>
                    <w:top w:val="none" w:sz="0" w:space="0" w:color="auto"/>
                    <w:left w:val="none" w:sz="0" w:space="0" w:color="auto"/>
                    <w:bottom w:val="none" w:sz="0" w:space="0" w:color="auto"/>
                    <w:right w:val="none" w:sz="0" w:space="0" w:color="auto"/>
                  </w:divBdr>
                  <w:divsChild>
                    <w:div w:id="1358774055">
                      <w:marLeft w:val="0"/>
                      <w:marRight w:val="0"/>
                      <w:marTop w:val="0"/>
                      <w:marBottom w:val="0"/>
                      <w:divBdr>
                        <w:top w:val="none" w:sz="0" w:space="0" w:color="auto"/>
                        <w:left w:val="none" w:sz="0" w:space="0" w:color="auto"/>
                        <w:bottom w:val="none" w:sz="0" w:space="0" w:color="auto"/>
                        <w:right w:val="none" w:sz="0" w:space="0" w:color="auto"/>
                      </w:divBdr>
                      <w:divsChild>
                        <w:div w:id="6144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537">
                  <w:marLeft w:val="0"/>
                  <w:marRight w:val="0"/>
                  <w:marTop w:val="0"/>
                  <w:marBottom w:val="0"/>
                  <w:divBdr>
                    <w:top w:val="none" w:sz="0" w:space="0" w:color="auto"/>
                    <w:left w:val="none" w:sz="0" w:space="0" w:color="auto"/>
                    <w:bottom w:val="none" w:sz="0" w:space="0" w:color="auto"/>
                    <w:right w:val="none" w:sz="0" w:space="0" w:color="auto"/>
                  </w:divBdr>
                  <w:divsChild>
                    <w:div w:id="1363744920">
                      <w:marLeft w:val="0"/>
                      <w:marRight w:val="0"/>
                      <w:marTop w:val="75"/>
                      <w:marBottom w:val="0"/>
                      <w:divBdr>
                        <w:top w:val="none" w:sz="0" w:space="0" w:color="auto"/>
                        <w:left w:val="none" w:sz="0" w:space="0" w:color="auto"/>
                        <w:bottom w:val="none" w:sz="0" w:space="0" w:color="auto"/>
                        <w:right w:val="none" w:sz="0" w:space="0" w:color="auto"/>
                      </w:divBdr>
                    </w:div>
                    <w:div w:id="131531736">
                      <w:marLeft w:val="0"/>
                      <w:marRight w:val="0"/>
                      <w:marTop w:val="75"/>
                      <w:marBottom w:val="0"/>
                      <w:divBdr>
                        <w:top w:val="none" w:sz="0" w:space="0" w:color="auto"/>
                        <w:left w:val="none" w:sz="0" w:space="0" w:color="auto"/>
                        <w:bottom w:val="none" w:sz="0" w:space="0" w:color="auto"/>
                        <w:right w:val="none" w:sz="0" w:space="0" w:color="auto"/>
                      </w:divBdr>
                    </w:div>
                    <w:div w:id="1805653388">
                      <w:marLeft w:val="0"/>
                      <w:marRight w:val="0"/>
                      <w:marTop w:val="75"/>
                      <w:marBottom w:val="0"/>
                      <w:divBdr>
                        <w:top w:val="none" w:sz="0" w:space="0" w:color="auto"/>
                        <w:left w:val="none" w:sz="0" w:space="0" w:color="auto"/>
                        <w:bottom w:val="none" w:sz="0" w:space="0" w:color="auto"/>
                        <w:right w:val="none" w:sz="0" w:space="0" w:color="auto"/>
                      </w:divBdr>
                    </w:div>
                    <w:div w:id="768233543">
                      <w:marLeft w:val="0"/>
                      <w:marRight w:val="0"/>
                      <w:marTop w:val="75"/>
                      <w:marBottom w:val="0"/>
                      <w:divBdr>
                        <w:top w:val="none" w:sz="0" w:space="0" w:color="auto"/>
                        <w:left w:val="none" w:sz="0" w:space="0" w:color="auto"/>
                        <w:bottom w:val="none" w:sz="0" w:space="0" w:color="auto"/>
                        <w:right w:val="none" w:sz="0" w:space="0" w:color="auto"/>
                      </w:divBdr>
                    </w:div>
                    <w:div w:id="1344741946">
                      <w:marLeft w:val="0"/>
                      <w:marRight w:val="0"/>
                      <w:marTop w:val="75"/>
                      <w:marBottom w:val="0"/>
                      <w:divBdr>
                        <w:top w:val="none" w:sz="0" w:space="0" w:color="auto"/>
                        <w:left w:val="none" w:sz="0" w:space="0" w:color="auto"/>
                        <w:bottom w:val="none" w:sz="0" w:space="0" w:color="auto"/>
                        <w:right w:val="none" w:sz="0" w:space="0" w:color="auto"/>
                      </w:divBdr>
                    </w:div>
                    <w:div w:id="645554720">
                      <w:marLeft w:val="0"/>
                      <w:marRight w:val="0"/>
                      <w:marTop w:val="75"/>
                      <w:marBottom w:val="0"/>
                      <w:divBdr>
                        <w:top w:val="none" w:sz="0" w:space="0" w:color="auto"/>
                        <w:left w:val="none" w:sz="0" w:space="0" w:color="auto"/>
                        <w:bottom w:val="none" w:sz="0" w:space="0" w:color="auto"/>
                        <w:right w:val="none" w:sz="0" w:space="0" w:color="auto"/>
                      </w:divBdr>
                    </w:div>
                    <w:div w:id="781407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isterra.com/guias-clinicas/vacunas-recomendables-adultos-portadores-vih/" TargetMode="External"/><Relationship Id="rId18" Type="http://schemas.openxmlformats.org/officeDocument/2006/relationships/hyperlink" Target="http://www.fisterra.com/guias-clinicas/vacunas-recomendables-adultos-portadores-vih/" TargetMode="External"/><Relationship Id="rId26" Type="http://schemas.openxmlformats.org/officeDocument/2006/relationships/hyperlink" Target="http://www.fisterra.com/guias-clinicas/vacunas-recomendables-adultos-portadores-vih/" TargetMode="External"/><Relationship Id="rId3" Type="http://schemas.microsoft.com/office/2007/relationships/stylesWithEffects" Target="stylesWithEffects.xml"/><Relationship Id="rId21" Type="http://schemas.openxmlformats.org/officeDocument/2006/relationships/hyperlink" Target="http://www.fisterra.com/guias-clinicas/vacunas-recomendables-adultos-portadores-vih/" TargetMode="External"/><Relationship Id="rId7" Type="http://schemas.openxmlformats.org/officeDocument/2006/relationships/hyperlink" Target="http://www.fisterra.com/guias-clinicas/vacunas-recomendables-adultos-portadores-vih/#guia" TargetMode="External"/><Relationship Id="rId12" Type="http://schemas.openxmlformats.org/officeDocument/2006/relationships/hyperlink" Target="http://www.fisterra.com/guias-clinicas/vacunas-recomendables-adultos-portadores-vih/" TargetMode="External"/><Relationship Id="rId17" Type="http://schemas.openxmlformats.org/officeDocument/2006/relationships/hyperlink" Target="http://www.fisterra.com/guias-clinicas/vacunas-recomendables-adultos-portadores-vih/" TargetMode="External"/><Relationship Id="rId25" Type="http://schemas.openxmlformats.org/officeDocument/2006/relationships/hyperlink" Target="http://www.fisterra.com/guias-clinicas/vacunas-recomendables-adultos-portadores-vih/" TargetMode="External"/><Relationship Id="rId2" Type="http://schemas.openxmlformats.org/officeDocument/2006/relationships/styles" Target="styles.xml"/><Relationship Id="rId16" Type="http://schemas.openxmlformats.org/officeDocument/2006/relationships/hyperlink" Target="http://www.fisterra.com/guias-clinicas/vacunas-recomendables-adultos-portadores-vih/" TargetMode="External"/><Relationship Id="rId20" Type="http://schemas.openxmlformats.org/officeDocument/2006/relationships/hyperlink" Target="http://www.fisterra.com/guias-clinicas/vacunas-recomendables-adultos-portadores-vi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sterra.com/guias-clinicas/vacunas-recomendables-adultos-portadores-vih/" TargetMode="External"/><Relationship Id="rId11" Type="http://schemas.openxmlformats.org/officeDocument/2006/relationships/hyperlink" Target="http://www.fisterra.com/guias-clinicas/vacunas-recomendables-adultos-portadores-vih/" TargetMode="External"/><Relationship Id="rId24" Type="http://schemas.openxmlformats.org/officeDocument/2006/relationships/hyperlink" Target="http://www.fisterra.com/guias-clinicas/vacunas-recomendables-adultos-portadores-vih/" TargetMode="External"/><Relationship Id="rId5" Type="http://schemas.openxmlformats.org/officeDocument/2006/relationships/webSettings" Target="webSettings.xml"/><Relationship Id="rId15" Type="http://schemas.openxmlformats.org/officeDocument/2006/relationships/hyperlink" Target="http://www.fisterra.com/guias-clinicas/vacunas-recomendables-adultos-portadores-vih/" TargetMode="External"/><Relationship Id="rId23" Type="http://schemas.openxmlformats.org/officeDocument/2006/relationships/hyperlink" Target="http://www.fisterra.com/guias-clinicas/vacunas-recomendables-adultos-portadores-vih/" TargetMode="External"/><Relationship Id="rId28" Type="http://schemas.openxmlformats.org/officeDocument/2006/relationships/fontTable" Target="fontTable.xml"/><Relationship Id="rId10" Type="http://schemas.openxmlformats.org/officeDocument/2006/relationships/hyperlink" Target="http://www.fisterra.com/guias-clinicas/vacunas-recomendables-adultos-portadores-vih/" TargetMode="External"/><Relationship Id="rId19" Type="http://schemas.openxmlformats.org/officeDocument/2006/relationships/hyperlink" Target="http://www.fisterra.com/guias-clinicas/vacunas-recomendables-adultos-portadores-vih/" TargetMode="External"/><Relationship Id="rId4" Type="http://schemas.openxmlformats.org/officeDocument/2006/relationships/settings" Target="settings.xml"/><Relationship Id="rId9" Type="http://schemas.openxmlformats.org/officeDocument/2006/relationships/hyperlink" Target="http://www.fisterra.com/guias-clinicas/vacunas-recomendables-adultos-portadores-vih/" TargetMode="External"/><Relationship Id="rId14" Type="http://schemas.openxmlformats.org/officeDocument/2006/relationships/hyperlink" Target="http://www.fisterra.com/guias-clinicas/vacunas-recomendables-adultos-portadores-vih/" TargetMode="External"/><Relationship Id="rId22" Type="http://schemas.openxmlformats.org/officeDocument/2006/relationships/hyperlink" Target="http://www.fisterra.com/guias-clinicas/vacunas-recomendables-adultos-portadores-vih/" TargetMode="External"/><Relationship Id="rId27" Type="http://schemas.openxmlformats.org/officeDocument/2006/relationships/hyperlink" Target="http://www.fisterra.com/guias-clinicas/vacunas-recomendables-adultos-portadores-vi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1650</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Gonzalo</cp:lastModifiedBy>
  <cp:revision>1</cp:revision>
  <dcterms:created xsi:type="dcterms:W3CDTF">2012-01-23T18:21:00Z</dcterms:created>
  <dcterms:modified xsi:type="dcterms:W3CDTF">2012-01-23T18:23:00Z</dcterms:modified>
</cp:coreProperties>
</file>